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B" w:rsidRDefault="00CA74BB" w:rsidP="00427EFF">
      <w:pPr>
        <w:spacing w:line="240" w:lineRule="auto"/>
        <w:jc w:val="center"/>
        <w:rPr>
          <w:b/>
          <w:bCs/>
          <w:szCs w:val="20"/>
          <w:lang w:val="es-ES"/>
        </w:rPr>
      </w:pPr>
      <w:r w:rsidRPr="00427EFF">
        <w:rPr>
          <w:b/>
          <w:szCs w:val="20"/>
          <w:lang w:val="es-ES"/>
        </w:rPr>
        <w:t>Programa XI: Programa de financiación de unidades de investigación</w:t>
      </w:r>
    </w:p>
    <w:p w:rsidR="00427EFF" w:rsidRPr="00427EFF" w:rsidRDefault="00427EFF" w:rsidP="00427EFF">
      <w:pPr>
        <w:spacing w:line="240" w:lineRule="auto"/>
        <w:jc w:val="center"/>
        <w:rPr>
          <w:b/>
          <w:bCs/>
          <w:szCs w:val="20"/>
          <w:lang w:val="es-ES"/>
        </w:rPr>
      </w:pPr>
    </w:p>
    <w:p w:rsidR="00CA74BB" w:rsidRPr="00427EFF" w:rsidRDefault="00CA74BB" w:rsidP="00427EFF">
      <w:pPr>
        <w:spacing w:line="240" w:lineRule="auto"/>
        <w:jc w:val="center"/>
        <w:rPr>
          <w:b/>
          <w:bCs/>
          <w:szCs w:val="20"/>
          <w:lang w:val="es-ES"/>
        </w:rPr>
      </w:pPr>
      <w:r w:rsidRPr="00427EFF">
        <w:rPr>
          <w:b/>
          <w:bCs/>
          <w:szCs w:val="20"/>
          <w:lang w:val="es-ES"/>
        </w:rPr>
        <w:t>SOLICITUD</w:t>
      </w:r>
    </w:p>
    <w:p w:rsidR="00CA74BB" w:rsidRPr="00427EFF" w:rsidRDefault="00CA74BB" w:rsidP="00427EFF">
      <w:pPr>
        <w:spacing w:line="240" w:lineRule="auto"/>
        <w:rPr>
          <w:b/>
          <w:bCs/>
          <w:szCs w:val="20"/>
          <w:u w:val="single"/>
          <w:lang w:val="es-ES"/>
        </w:rPr>
      </w:pPr>
    </w:p>
    <w:p w:rsidR="00CA74BB" w:rsidRPr="00427EFF" w:rsidRDefault="00CA74BB" w:rsidP="00427EFF">
      <w:pPr>
        <w:spacing w:line="240" w:lineRule="auto"/>
        <w:rPr>
          <w:b/>
          <w:bCs/>
          <w:szCs w:val="20"/>
          <w:u w:val="single"/>
          <w:lang w:val="es-ES"/>
        </w:rPr>
      </w:pPr>
      <w:r w:rsidRPr="00427EFF">
        <w:rPr>
          <w:b/>
          <w:bCs/>
          <w:szCs w:val="20"/>
          <w:u w:val="single"/>
          <w:lang w:val="es-ES"/>
        </w:rPr>
        <w:t>Datos de la UNIDAD de Investigación solicitante: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54"/>
        <w:gridCol w:w="3150"/>
        <w:gridCol w:w="2695"/>
      </w:tblGrid>
      <w:tr w:rsidR="00427EFF" w:rsidRPr="00427EFF" w:rsidTr="00A00CDD">
        <w:trPr>
          <w:trHeight w:val="261"/>
        </w:trPr>
        <w:tc>
          <w:tcPr>
            <w:tcW w:w="270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427EFF">
              <w:rPr>
                <w:b/>
                <w:bCs/>
                <w:szCs w:val="20"/>
                <w:lang w:val="es-ES"/>
              </w:rPr>
              <w:t>Nombre y apellidos del</w:t>
            </w:r>
            <w:r w:rsidR="00427EFF">
              <w:rPr>
                <w:b/>
                <w:bCs/>
                <w:szCs w:val="20"/>
                <w:lang w:val="es-ES"/>
              </w:rPr>
              <w:t>/la</w:t>
            </w:r>
            <w:r w:rsidRPr="00427EFF">
              <w:rPr>
                <w:b/>
                <w:bCs/>
                <w:szCs w:val="20"/>
                <w:lang w:val="es-ES"/>
              </w:rPr>
              <w:t xml:space="preserve"> coordinador/a solicitante</w:t>
            </w:r>
          </w:p>
        </w:tc>
        <w:tc>
          <w:tcPr>
            <w:tcW w:w="3306" w:type="dxa"/>
            <w:gridSpan w:val="2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76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427EFF" w:rsidRPr="00427EFF" w:rsidTr="00A00CDD">
        <w:trPr>
          <w:gridAfter w:val="2"/>
          <w:wAfter w:w="6011" w:type="dxa"/>
        </w:trPr>
        <w:tc>
          <w:tcPr>
            <w:tcW w:w="2761" w:type="dxa"/>
            <w:gridSpan w:val="2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CA74BB" w:rsidRPr="00427EFF" w:rsidTr="00A00CDD">
        <w:tc>
          <w:tcPr>
            <w:tcW w:w="270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427EFF">
              <w:rPr>
                <w:b/>
                <w:bCs/>
                <w:szCs w:val="20"/>
                <w:lang w:val="es-ES"/>
              </w:rPr>
              <w:t>Correo electrónico</w:t>
            </w:r>
          </w:p>
        </w:tc>
        <w:tc>
          <w:tcPr>
            <w:tcW w:w="3306" w:type="dxa"/>
            <w:gridSpan w:val="2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76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  <w:r w:rsidRPr="00427EFF">
              <w:rPr>
                <w:b/>
                <w:bCs/>
                <w:szCs w:val="20"/>
                <w:lang w:val="es-ES"/>
              </w:rPr>
              <w:t>Firma</w:t>
            </w:r>
          </w:p>
        </w:tc>
      </w:tr>
    </w:tbl>
    <w:p w:rsidR="00CA74BB" w:rsidRPr="00427EFF" w:rsidRDefault="00CA74BB" w:rsidP="00427EFF">
      <w:pPr>
        <w:pStyle w:val="Default"/>
        <w:rPr>
          <w:color w:val="auto"/>
          <w:sz w:val="20"/>
          <w:szCs w:val="20"/>
        </w:rPr>
      </w:pPr>
    </w:p>
    <w:p w:rsidR="00427EFF" w:rsidRDefault="00427EFF" w:rsidP="00427EFF">
      <w:pPr>
        <w:spacing w:line="240" w:lineRule="auto"/>
        <w:rPr>
          <w:b/>
          <w:szCs w:val="20"/>
          <w:u w:val="single"/>
          <w:lang w:val="es-ES"/>
        </w:rPr>
      </w:pPr>
    </w:p>
    <w:p w:rsidR="00CA74BB" w:rsidRPr="00427EFF" w:rsidRDefault="00CA74BB" w:rsidP="00427EFF">
      <w:pPr>
        <w:spacing w:line="240" w:lineRule="auto"/>
        <w:rPr>
          <w:b/>
          <w:szCs w:val="20"/>
          <w:u w:val="single"/>
          <w:lang w:val="es-ES"/>
        </w:rPr>
      </w:pPr>
      <w:r w:rsidRPr="00427EFF">
        <w:rPr>
          <w:b/>
          <w:szCs w:val="20"/>
          <w:u w:val="single"/>
          <w:lang w:val="es-ES"/>
        </w:rPr>
        <w:t>Investigadores/as participantes: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985"/>
        <w:gridCol w:w="2649"/>
      </w:tblGrid>
      <w:tr w:rsidR="00427EFF" w:rsidRPr="00427EFF" w:rsidTr="00A00CDD">
        <w:trPr>
          <w:trHeight w:val="862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427EFF">
              <w:rPr>
                <w:b/>
                <w:bCs/>
                <w:szCs w:val="20"/>
                <w:lang w:val="es-ES"/>
              </w:rPr>
              <w:t>Apellidos y nombre de cada componente de la Unidad</w:t>
            </w:r>
            <w:r w:rsidR="00427EFF">
              <w:rPr>
                <w:b/>
                <w:bCs/>
                <w:szCs w:val="20"/>
                <w:lang w:val="es-ES"/>
              </w:rPr>
              <w:t xml:space="preserve"> </w:t>
            </w:r>
            <w:r w:rsidRPr="00427EFF">
              <w:rPr>
                <w:b/>
                <w:bCs/>
                <w:szCs w:val="20"/>
                <w:lang w:val="es-ES"/>
              </w:rPr>
              <w:t xml:space="preserve">excluido el coordinador </w:t>
            </w: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  <w:r w:rsidRPr="00427EFF">
              <w:rPr>
                <w:b/>
                <w:bCs/>
                <w:szCs w:val="20"/>
                <w:lang w:val="es-ES"/>
              </w:rPr>
              <w:t>Firma</w:t>
            </w:r>
          </w:p>
        </w:tc>
      </w:tr>
      <w:tr w:rsidR="00427EFF" w:rsidRPr="00427EFF" w:rsidTr="00A00CDD">
        <w:trPr>
          <w:trHeight w:val="434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427EFF" w:rsidRPr="00427EFF" w:rsidTr="00A00CDD">
        <w:trPr>
          <w:trHeight w:val="434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427EFF" w:rsidRPr="00427EFF" w:rsidTr="00A00CDD">
        <w:trPr>
          <w:trHeight w:val="434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427EFF" w:rsidRPr="00427EFF" w:rsidTr="00A00CDD">
        <w:trPr>
          <w:trHeight w:val="434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u w:val="single"/>
                <w:lang w:val="es-ES"/>
              </w:rPr>
            </w:pPr>
          </w:p>
        </w:tc>
      </w:tr>
      <w:tr w:rsidR="00427EFF" w:rsidRPr="00427EFF" w:rsidTr="00A00CDD">
        <w:trPr>
          <w:trHeight w:val="403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</w:p>
        </w:tc>
      </w:tr>
      <w:tr w:rsidR="00427EFF" w:rsidRPr="00427EFF" w:rsidTr="00A00CDD">
        <w:trPr>
          <w:trHeight w:val="403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</w:p>
        </w:tc>
      </w:tr>
      <w:tr w:rsidR="00427EFF" w:rsidRPr="00427EFF" w:rsidTr="00A00CDD">
        <w:trPr>
          <w:trHeight w:val="403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</w:p>
        </w:tc>
      </w:tr>
      <w:tr w:rsidR="00427EFF" w:rsidRPr="00427EFF" w:rsidTr="00A00CDD">
        <w:trPr>
          <w:trHeight w:val="403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</w:p>
        </w:tc>
      </w:tr>
      <w:tr w:rsidR="00427EFF" w:rsidRPr="00427EFF" w:rsidTr="00A00CDD">
        <w:trPr>
          <w:trHeight w:val="403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</w:p>
        </w:tc>
      </w:tr>
      <w:tr w:rsidR="00CA74BB" w:rsidRPr="00427EFF" w:rsidTr="00A00CDD">
        <w:trPr>
          <w:trHeight w:val="403"/>
        </w:trPr>
        <w:tc>
          <w:tcPr>
            <w:tcW w:w="3911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rPr>
                <w:bCs/>
                <w:szCs w:val="20"/>
                <w:lang w:val="es-ES"/>
              </w:rPr>
            </w:pPr>
          </w:p>
        </w:tc>
        <w:tc>
          <w:tcPr>
            <w:tcW w:w="2649" w:type="dxa"/>
            <w:shd w:val="clear" w:color="auto" w:fill="auto"/>
          </w:tcPr>
          <w:p w:rsidR="00CA74BB" w:rsidRPr="00427EFF" w:rsidRDefault="00CA74BB" w:rsidP="00427EFF">
            <w:pPr>
              <w:spacing w:line="240" w:lineRule="auto"/>
              <w:jc w:val="center"/>
              <w:rPr>
                <w:b/>
                <w:bCs/>
                <w:szCs w:val="20"/>
                <w:lang w:val="es-ES"/>
              </w:rPr>
            </w:pPr>
          </w:p>
        </w:tc>
      </w:tr>
    </w:tbl>
    <w:p w:rsidR="00CA74BB" w:rsidRPr="00427EFF" w:rsidRDefault="00CA74BB" w:rsidP="00427EFF">
      <w:pPr>
        <w:spacing w:line="240" w:lineRule="auto"/>
        <w:rPr>
          <w:b/>
          <w:bCs/>
          <w:szCs w:val="20"/>
          <w:u w:val="single"/>
          <w:lang w:val="es-ES"/>
        </w:rPr>
      </w:pPr>
    </w:p>
    <w:p w:rsidR="00CA74BB" w:rsidRPr="00427EFF" w:rsidRDefault="00CA74BB" w:rsidP="00427EFF">
      <w:pPr>
        <w:spacing w:line="240" w:lineRule="auto"/>
        <w:rPr>
          <w:b/>
          <w:bCs/>
          <w:szCs w:val="20"/>
          <w:u w:val="single"/>
          <w:lang w:val="es-ES"/>
        </w:rPr>
      </w:pPr>
      <w:r w:rsidRPr="00427EFF">
        <w:rPr>
          <w:b/>
          <w:bCs/>
          <w:szCs w:val="20"/>
          <w:u w:val="single"/>
          <w:lang w:val="es-ES"/>
        </w:rPr>
        <w:lastRenderedPageBreak/>
        <w:t xml:space="preserve">Documentación que se </w:t>
      </w:r>
      <w:r w:rsidR="00427EFF" w:rsidRPr="00427EFF">
        <w:rPr>
          <w:b/>
          <w:bCs/>
          <w:szCs w:val="20"/>
          <w:u w:val="single"/>
          <w:lang w:val="es-ES"/>
        </w:rPr>
        <w:t>adjunta:</w:t>
      </w:r>
    </w:p>
    <w:p w:rsidR="00CA74BB" w:rsidRPr="00427EFF" w:rsidRDefault="00CA74BB" w:rsidP="00427EFF">
      <w:pPr>
        <w:adjustRightInd w:val="0"/>
        <w:spacing w:line="240" w:lineRule="auto"/>
        <w:rPr>
          <w:rFonts w:eastAsiaTheme="minorHAnsi"/>
          <w:szCs w:val="20"/>
          <w:lang w:val="es-ES"/>
        </w:rPr>
      </w:pPr>
    </w:p>
    <w:p w:rsidR="00CA74BB" w:rsidRPr="00427EFF" w:rsidRDefault="00CA74BB" w:rsidP="00427EFF">
      <w:pPr>
        <w:adjustRightInd w:val="0"/>
        <w:spacing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/>
          <w:szCs w:val="20"/>
          <w:lang w:val="es-ES"/>
        </w:rPr>
        <w:t xml:space="preserve">Memoria técnica que deberá contener la siguiente información: </w:t>
      </w:r>
    </w:p>
    <w:p w:rsidR="00CA74BB" w:rsidRPr="00427EFF" w:rsidRDefault="00CA74BB" w:rsidP="00427EFF">
      <w:pPr>
        <w:adjustRightInd w:val="0"/>
        <w:spacing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/>
          <w:szCs w:val="20"/>
          <w:lang w:val="es-ES"/>
        </w:rPr>
        <w:t xml:space="preserve">•Evaluación individualizada de cada uno de los miembros del grupo, junto con las evidencias correspondientes, que justifique el cumplimiento del criterio del impacto normalizado. </w:t>
      </w:r>
    </w:p>
    <w:p w:rsidR="00CA74BB" w:rsidRPr="00427EFF" w:rsidRDefault="00CA74BB" w:rsidP="00427EFF">
      <w:pPr>
        <w:adjustRightInd w:val="0"/>
        <w:spacing w:after="161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/>
          <w:szCs w:val="20"/>
          <w:lang w:val="es-ES"/>
        </w:rPr>
        <w:t xml:space="preserve">• Aspectos u objetivos científicos comunes de las líneas de investigación de los/las investigadores/as. </w:t>
      </w:r>
    </w:p>
    <w:p w:rsidR="00CA74BB" w:rsidRPr="00427EFF" w:rsidRDefault="00CA74BB" w:rsidP="00427EFF">
      <w:pPr>
        <w:adjustRightInd w:val="0"/>
        <w:spacing w:after="161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/>
          <w:szCs w:val="20"/>
          <w:lang w:val="es-ES"/>
        </w:rPr>
        <w:t xml:space="preserve">• Infraestructura y recursos científicos actualmente compartidos por todos/as los/las investigadores/as. </w:t>
      </w:r>
    </w:p>
    <w:p w:rsidR="00CA74BB" w:rsidRPr="00427EFF" w:rsidRDefault="00CA74BB" w:rsidP="00427EFF">
      <w:pPr>
        <w:adjustRightInd w:val="0"/>
        <w:spacing w:after="161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/>
          <w:szCs w:val="20"/>
          <w:lang w:val="es-ES"/>
        </w:rPr>
        <w:t xml:space="preserve">• Otros/as investigadores/as doctores/as pertenecientes a los grupos de investigación de los/las investigadores/as solicitantes, así como su número de publicaciones indexadas en el período de referencia y porcentaje de esas publicaciones en el Q1. </w:t>
      </w:r>
    </w:p>
    <w:p w:rsidR="00CA74BB" w:rsidRPr="00427EFF" w:rsidRDefault="00CA74BB" w:rsidP="00427EFF">
      <w:pPr>
        <w:adjustRightInd w:val="0"/>
        <w:spacing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/>
          <w:szCs w:val="20"/>
          <w:lang w:val="es-ES"/>
        </w:rPr>
        <w:t>• Plan de trabajo conjunto entre todos los grupos que incluya: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Actuaciones que contribuyan a aumentar las sinergias y grado de integración o complementariedad existentes entre las actividades de investigación desarrolladas.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Modelo de organización de la unidad.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Actuaciones para incorporar personal predoctoral o postdoctoral de alto nivel que contribuya a mejorar los indicadores de la unidad.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Previsiones de incorporación de otros/as investigadores/as doctores/as de la USAL o de otras instituciones.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>o</w:t>
      </w:r>
      <w:r w:rsidR="00427EFF">
        <w:rPr>
          <w:rFonts w:eastAsiaTheme="minorHAnsi" w:cs="Courier New"/>
          <w:szCs w:val="20"/>
          <w:lang w:val="es-ES"/>
        </w:rPr>
        <w:t xml:space="preserve"> </w:t>
      </w:r>
      <w:r w:rsidRPr="00427EFF">
        <w:rPr>
          <w:rFonts w:eastAsiaTheme="minorHAnsi"/>
          <w:szCs w:val="20"/>
          <w:lang w:val="es-ES"/>
        </w:rPr>
        <w:t xml:space="preserve">Adquisición de equipamiento u otros recursos comunes a los grupos. </w:t>
      </w:r>
    </w:p>
    <w:p w:rsidR="00CA74BB" w:rsidRPr="00427EFF" w:rsidRDefault="00427EFF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>
        <w:rPr>
          <w:rFonts w:eastAsiaTheme="minorHAnsi" w:cs="Courier New"/>
          <w:szCs w:val="20"/>
          <w:lang w:val="es-ES"/>
        </w:rPr>
        <w:t xml:space="preserve">o </w:t>
      </w:r>
      <w:r w:rsidR="00CA74BB" w:rsidRPr="00427EFF">
        <w:rPr>
          <w:rFonts w:eastAsiaTheme="minorHAnsi"/>
          <w:szCs w:val="20"/>
          <w:lang w:val="es-ES"/>
        </w:rPr>
        <w:t xml:space="preserve">Actuaciones destinadas a promover la colaboración, generar sinergias en materia de investigación entre los distintos grupos y fortalecer la identidad de la unidad en materia de investigación.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Colaboraciones con centros, unidades o grupos de investigación, nacionales e internacionales.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Actividades para mejorar el posicionamiento internacional: i) colaboraciones científicas con instituciones y grupos internacionales; ii) participación en grandes consorcios de investigación internacionales; iii) participación en Horizonte 2020.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Actividades que permitan mejorar el impacto de los resultados, incluyendo específicamente medidas y actividades dirigidas a: i) la colaboración con el entorno productivo y social, y con centros de I+D+i que incrementen el impacto social y económico de los resultados de la investigación; ii) la difusión y comunicación a la sociedad de los resultados de las actividades de la unidad, y iii) el fomento del acceso abierto a las publicaciones científicas, así como el impulso de nuevas formas de acceso y difusión (acceso abierto) de los datos asociados a la investigación financiada con fondos públicos.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Indicadores: se deberán dar datos de los cinco últimos años completos, así como la previsión de los mismos para las siguientes cuatro anualidades.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lastRenderedPageBreak/>
        <w:t xml:space="preserve">o </w:t>
      </w:r>
      <w:r w:rsidRPr="00427EFF">
        <w:rPr>
          <w:rFonts w:eastAsiaTheme="minorHAnsi"/>
          <w:szCs w:val="20"/>
          <w:lang w:val="es-ES"/>
        </w:rPr>
        <w:t xml:space="preserve">Indicadores de las publicaciones científicas de alto impacto previstas.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 xml:space="preserve">Indicadores de formación predoctoral y postdoctoral de la unidad. </w:t>
      </w:r>
    </w:p>
    <w:p w:rsidR="00CA74BB" w:rsidRPr="00427EFF" w:rsidRDefault="00CA74BB" w:rsidP="00427EFF">
      <w:pPr>
        <w:adjustRightInd w:val="0"/>
        <w:spacing w:after="146"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>Indicadores de otros resultados de investiga</w:t>
      </w:r>
      <w:r w:rsidR="00427EFF">
        <w:rPr>
          <w:rFonts w:eastAsiaTheme="minorHAnsi"/>
          <w:szCs w:val="20"/>
          <w:lang w:val="es-ES"/>
        </w:rPr>
        <w:t>ción relevantes para el entorno</w:t>
      </w:r>
      <w:r w:rsidRPr="00427EFF">
        <w:rPr>
          <w:rFonts w:eastAsiaTheme="minorHAnsi"/>
          <w:szCs w:val="20"/>
          <w:lang w:val="es-ES"/>
        </w:rPr>
        <w:t xml:space="preserve"> incluyendo, en su caso, la solicitud y concesión de patentes y otras formas de propiedad industrial e intelectual, su transferencia, explotación, y la colaboración con el sector empresarial. </w:t>
      </w:r>
    </w:p>
    <w:p w:rsidR="00CA74BB" w:rsidRPr="00427EFF" w:rsidRDefault="00CA74BB" w:rsidP="00427EFF">
      <w:pPr>
        <w:adjustRightInd w:val="0"/>
        <w:spacing w:line="240" w:lineRule="auto"/>
        <w:rPr>
          <w:rFonts w:eastAsiaTheme="minorHAnsi"/>
          <w:szCs w:val="20"/>
          <w:lang w:val="es-ES"/>
        </w:rPr>
      </w:pPr>
      <w:r w:rsidRPr="00427EFF">
        <w:rPr>
          <w:rFonts w:eastAsiaTheme="minorHAnsi" w:cs="Courier New"/>
          <w:szCs w:val="20"/>
          <w:lang w:val="es-ES"/>
        </w:rPr>
        <w:t xml:space="preserve">o </w:t>
      </w:r>
      <w:r w:rsidRPr="00427EFF">
        <w:rPr>
          <w:rFonts w:eastAsiaTheme="minorHAnsi"/>
          <w:szCs w:val="20"/>
          <w:lang w:val="es-ES"/>
        </w:rPr>
        <w:t>Indicadores sobre fuentes de financiación adicional, competitivas y no competitivas, con especial referencia, en su caso, a las procedentes del sector privado.</w:t>
      </w:r>
    </w:p>
    <w:p w:rsidR="00CA74BB" w:rsidRPr="00427EFF" w:rsidRDefault="00CA74BB" w:rsidP="00427EFF">
      <w:pPr>
        <w:adjustRightInd w:val="0"/>
        <w:spacing w:line="240" w:lineRule="auto"/>
        <w:rPr>
          <w:rFonts w:eastAsiaTheme="minorHAnsi"/>
          <w:szCs w:val="20"/>
          <w:lang w:val="es-ES"/>
        </w:rPr>
      </w:pPr>
    </w:p>
    <w:p w:rsidR="00CA74BB" w:rsidRPr="00427EFF" w:rsidRDefault="00CA74BB" w:rsidP="00427EFF">
      <w:pPr>
        <w:spacing w:line="240" w:lineRule="auto"/>
        <w:rPr>
          <w:b/>
          <w:bCs/>
          <w:szCs w:val="20"/>
          <w:u w:val="single"/>
          <w:lang w:val="es-ES"/>
        </w:rPr>
      </w:pPr>
    </w:p>
    <w:p w:rsidR="00CA74BB" w:rsidRPr="00427EFF" w:rsidRDefault="00CA74BB" w:rsidP="00427EFF">
      <w:pPr>
        <w:spacing w:line="240" w:lineRule="auto"/>
        <w:ind w:left="180" w:hanging="38"/>
        <w:rPr>
          <w:szCs w:val="20"/>
          <w:shd w:val="clear" w:color="auto" w:fill="CDCDCD"/>
          <w:lang w:val="es-ES"/>
        </w:rPr>
      </w:pPr>
      <w:bookmarkStart w:id="0" w:name="_GoBack"/>
      <w:bookmarkEnd w:id="0"/>
    </w:p>
    <w:p w:rsidR="00CA74BB" w:rsidRPr="00427EFF" w:rsidRDefault="00CA74BB" w:rsidP="00427EFF">
      <w:pPr>
        <w:spacing w:line="240" w:lineRule="auto"/>
        <w:ind w:left="180" w:hanging="38"/>
        <w:rPr>
          <w:szCs w:val="20"/>
          <w:lang w:val="es-ES"/>
        </w:rPr>
      </w:pPr>
    </w:p>
    <w:p w:rsidR="00CA74BB" w:rsidRPr="00427EFF" w:rsidRDefault="00CA74BB" w:rsidP="00427EFF">
      <w:pPr>
        <w:spacing w:line="240" w:lineRule="auto"/>
        <w:ind w:left="180" w:firstLine="4860"/>
        <w:rPr>
          <w:szCs w:val="20"/>
          <w:lang w:val="es-ES"/>
        </w:rPr>
      </w:pPr>
    </w:p>
    <w:p w:rsidR="00CA74BB" w:rsidRPr="00427EFF" w:rsidRDefault="00427EFF" w:rsidP="00427EFF">
      <w:pPr>
        <w:pStyle w:val="Textodebloque"/>
        <w:ind w:left="3966"/>
        <w:jc w:val="both"/>
        <w:rPr>
          <w:rFonts w:ascii="Trebuchet MS" w:hAnsi="Trebuchet MS"/>
          <w:b w:val="0"/>
        </w:rPr>
      </w:pPr>
      <w:r w:rsidRPr="00427EFF">
        <w:rPr>
          <w:rFonts w:ascii="Trebuchet MS" w:hAnsi="Trebuchet MS"/>
          <w:b w:val="0"/>
        </w:rPr>
        <w:t>S</w:t>
      </w:r>
      <w:r w:rsidR="00CA74BB" w:rsidRPr="00427EFF">
        <w:rPr>
          <w:rFonts w:ascii="Trebuchet MS" w:hAnsi="Trebuchet MS"/>
          <w:b w:val="0"/>
        </w:rPr>
        <w:t>alamanca</w:t>
      </w:r>
      <w:r w:rsidRPr="00427EFF">
        <w:rPr>
          <w:rFonts w:ascii="Trebuchet MS" w:hAnsi="Trebuchet MS"/>
          <w:b w:val="0"/>
        </w:rPr>
        <w:t>,</w:t>
      </w:r>
      <w:r>
        <w:rPr>
          <w:rFonts w:ascii="Trebuchet MS" w:hAnsi="Trebuchet MS"/>
          <w:b w:val="0"/>
        </w:rPr>
        <w:t xml:space="preserve"> </w:t>
      </w:r>
      <w:r w:rsidR="00CA74BB" w:rsidRPr="00427EFF">
        <w:rPr>
          <w:rFonts w:ascii="Trebuchet MS" w:hAnsi="Trebuchet MS"/>
          <w:b w:val="0"/>
        </w:rPr>
        <w:t>a ……….de……….de 201</w:t>
      </w:r>
    </w:p>
    <w:p w:rsidR="00CA74BB" w:rsidRPr="00427EFF" w:rsidRDefault="00CA74BB" w:rsidP="00427EFF">
      <w:pPr>
        <w:spacing w:line="240" w:lineRule="auto"/>
        <w:rPr>
          <w:szCs w:val="20"/>
        </w:rPr>
      </w:pPr>
    </w:p>
    <w:p w:rsidR="0080017B" w:rsidRPr="00427EFF" w:rsidRDefault="0080017B" w:rsidP="00427EFF">
      <w:pPr>
        <w:spacing w:line="240" w:lineRule="auto"/>
        <w:rPr>
          <w:szCs w:val="20"/>
        </w:rPr>
      </w:pPr>
    </w:p>
    <w:sectPr w:rsidR="0080017B" w:rsidRPr="00427EFF" w:rsidSect="00AF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60" w:rsidRDefault="00A62660">
      <w:r>
        <w:separator/>
      </w:r>
    </w:p>
  </w:endnote>
  <w:endnote w:type="continuationSeparator" w:id="0">
    <w:p w:rsidR="00A62660" w:rsidRDefault="00A6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BB" w:rsidRDefault="00CA74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A62660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A62660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:rsidR="00F617E8" w:rsidRPr="009E6CE0" w:rsidRDefault="00A62660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CA74BB" w:rsidP="00CA74BB">
    <w:pPr>
      <w:pStyle w:val="Piedepgina"/>
      <w:jc w:val="center"/>
      <w:rPr>
        <w:lang w:val="es-ES"/>
      </w:rPr>
    </w:pPr>
    <w:r w:rsidRPr="00CA74BB">
      <w:rPr>
        <w:lang w:val="es-ES"/>
      </w:rPr>
      <w:fldChar w:fldCharType="begin"/>
    </w:r>
    <w:r w:rsidRPr="00CA74BB">
      <w:rPr>
        <w:lang w:val="es-ES"/>
      </w:rPr>
      <w:instrText xml:space="preserve"> PAGE   \* MERGEFORMAT </w:instrText>
    </w:r>
    <w:r w:rsidRPr="00CA74BB">
      <w:rPr>
        <w:lang w:val="es-ES"/>
      </w:rPr>
      <w:fldChar w:fldCharType="separate"/>
    </w:r>
    <w:r w:rsidR="00427EFF">
      <w:rPr>
        <w:noProof/>
        <w:lang w:val="es-ES"/>
      </w:rPr>
      <w:t>3</w:t>
    </w:r>
    <w:r w:rsidRPr="00CA74BB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A62660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A62660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A62660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60" w:rsidRDefault="00A62660">
      <w:r>
        <w:separator/>
      </w:r>
    </w:p>
  </w:footnote>
  <w:footnote w:type="continuationSeparator" w:id="0">
    <w:p w:rsidR="00A62660" w:rsidRDefault="00A6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BB" w:rsidRDefault="00CA74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4848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27EFF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2660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A4D22"/>
    <w:rsid w:val="00CA74BB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93671"/>
    <w:rsid w:val="00EB3AB1"/>
    <w:rsid w:val="00EF2D5C"/>
    <w:rsid w:val="00F0533B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A74BB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4BB"/>
    <w:rPr>
      <w:rFonts w:ascii="Trebuchet MS" w:eastAsia="Trebuchet MS" w:hAnsi="Trebuchet MS" w:cs="Trebuchet MS"/>
      <w:lang w:val="en-US" w:eastAsia="en-US"/>
    </w:rPr>
  </w:style>
  <w:style w:type="paragraph" w:styleId="Textodebloque">
    <w:name w:val="Block Text"/>
    <w:basedOn w:val="Normal"/>
    <w:unhideWhenUsed/>
    <w:rsid w:val="00CA74BB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74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rsid w:val="0042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A74BB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4BB"/>
    <w:rPr>
      <w:rFonts w:ascii="Trebuchet MS" w:eastAsia="Trebuchet MS" w:hAnsi="Trebuchet MS" w:cs="Trebuchet MS"/>
      <w:lang w:val="en-US" w:eastAsia="en-US"/>
    </w:rPr>
  </w:style>
  <w:style w:type="paragraph" w:styleId="Textodebloque">
    <w:name w:val="Block Text"/>
    <w:basedOn w:val="Normal"/>
    <w:unhideWhenUsed/>
    <w:rsid w:val="00CA74BB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74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rsid w:val="0042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5B2B4-65DC-424C-9316-75660B5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0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3594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Equipo</cp:lastModifiedBy>
  <cp:revision>2</cp:revision>
  <cp:lastPrinted>2016-03-01T09:58:00Z</cp:lastPrinted>
  <dcterms:created xsi:type="dcterms:W3CDTF">2016-12-22T01:21:00Z</dcterms:created>
  <dcterms:modified xsi:type="dcterms:W3CDTF">2016-12-22T01:21:00Z</dcterms:modified>
</cp:coreProperties>
</file>